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1C4" w:rsidRDefault="009521C4" w:rsidP="00C719B9">
      <w:pPr>
        <w:spacing w:line="276" w:lineRule="auto"/>
        <w:jc w:val="center"/>
        <w:rPr>
          <w:rFonts w:ascii="Arial" w:eastAsia="Century Gothic" w:hAnsi="Arial" w:cs="Arial"/>
          <w:b/>
        </w:rPr>
      </w:pPr>
    </w:p>
    <w:p w:rsidR="001E0CB5" w:rsidRPr="00C719B9" w:rsidRDefault="00711980" w:rsidP="00C719B9">
      <w:pPr>
        <w:spacing w:line="276" w:lineRule="auto"/>
        <w:jc w:val="center"/>
        <w:rPr>
          <w:rFonts w:ascii="Arial" w:hAnsi="Arial" w:cs="Arial"/>
          <w:b/>
        </w:rPr>
      </w:pPr>
      <w:r w:rsidRPr="00C719B9">
        <w:rPr>
          <w:rFonts w:ascii="Arial" w:eastAsia="Century Gothic" w:hAnsi="Arial" w:cs="Arial"/>
          <w:b/>
        </w:rPr>
        <w:t>TEXTO APROBADO EN PRIMER DEBATE,  EN LA COMISIÓN PRIMERA D</w:t>
      </w:r>
      <w:r w:rsidR="00B0271C" w:rsidRPr="00C719B9">
        <w:rPr>
          <w:rFonts w:ascii="Arial" w:eastAsia="Century Gothic" w:hAnsi="Arial" w:cs="Arial"/>
          <w:b/>
        </w:rPr>
        <w:t xml:space="preserve">E LA CÁMARA DE REPRESENTANTES </w:t>
      </w:r>
    </w:p>
    <w:p w:rsidR="00B0271C" w:rsidRPr="00C719B9" w:rsidRDefault="00B0271C" w:rsidP="001E0CB5">
      <w:pPr>
        <w:jc w:val="center"/>
        <w:rPr>
          <w:rFonts w:ascii="Arial" w:hAnsi="Arial" w:cs="Arial"/>
          <w:i/>
        </w:rPr>
      </w:pPr>
    </w:p>
    <w:p w:rsidR="00C8285F" w:rsidRPr="00C719B9" w:rsidRDefault="00C8285F" w:rsidP="00C8285F">
      <w:pPr>
        <w:jc w:val="center"/>
        <w:rPr>
          <w:rFonts w:ascii="Arial" w:hAnsi="Arial" w:cs="Arial"/>
          <w:b/>
        </w:rPr>
      </w:pPr>
      <w:r w:rsidRPr="00C719B9">
        <w:rPr>
          <w:rFonts w:ascii="Arial" w:hAnsi="Arial" w:cs="Arial"/>
          <w:b/>
        </w:rPr>
        <w:t>PROYECTO DE LEY No 198 DE 2021 CÁMARA</w:t>
      </w:r>
    </w:p>
    <w:p w:rsidR="00C8285F" w:rsidRPr="00C719B9" w:rsidRDefault="00C8285F" w:rsidP="00C8285F">
      <w:pPr>
        <w:jc w:val="center"/>
        <w:rPr>
          <w:rFonts w:ascii="Arial" w:hAnsi="Arial" w:cs="Arial"/>
          <w:b/>
          <w:i/>
        </w:rPr>
      </w:pPr>
      <w:r w:rsidRPr="00C719B9">
        <w:rPr>
          <w:rFonts w:ascii="Arial" w:hAnsi="Arial" w:cs="Arial"/>
          <w:b/>
          <w:i/>
        </w:rPr>
        <w:t>“POR MEDIO DE LA CUAL SE SUSPENDEN LOS EFECTOS DE LOS MANDAMIENTOS DE PAGO Y LA EJECUCIÓN DE TODO AQUEL DICTADO EN PROCESOS EJECUTIVOS DE MÍNIMA Y MENOR CUANTÍA Y SE DICTAN OTRAS DISPOSICIONES”</w:t>
      </w:r>
    </w:p>
    <w:p w:rsidR="00C719B9" w:rsidRPr="00C719B9" w:rsidRDefault="00C719B9" w:rsidP="00C8285F">
      <w:pPr>
        <w:jc w:val="center"/>
        <w:rPr>
          <w:rFonts w:ascii="Arial" w:hAnsi="Arial" w:cs="Arial"/>
          <w:b/>
          <w:i/>
        </w:rPr>
      </w:pPr>
    </w:p>
    <w:p w:rsidR="00C719B9" w:rsidRPr="00C719B9" w:rsidRDefault="00C719B9" w:rsidP="00C8285F">
      <w:pPr>
        <w:jc w:val="center"/>
        <w:rPr>
          <w:rFonts w:ascii="Arial" w:hAnsi="Arial" w:cs="Arial"/>
          <w:b/>
          <w:i/>
        </w:rPr>
      </w:pPr>
    </w:p>
    <w:p w:rsidR="00C8285F" w:rsidRPr="00C719B9" w:rsidRDefault="00C8285F" w:rsidP="00C8285F">
      <w:pPr>
        <w:jc w:val="center"/>
        <w:rPr>
          <w:rFonts w:ascii="Arial" w:hAnsi="Arial" w:cs="Arial"/>
          <w:b/>
        </w:rPr>
      </w:pPr>
      <w:r w:rsidRPr="00C719B9">
        <w:rPr>
          <w:rFonts w:ascii="Arial" w:hAnsi="Arial" w:cs="Arial"/>
          <w:b/>
        </w:rPr>
        <w:t>EL CONGRESO DE COLOMBIA</w:t>
      </w:r>
    </w:p>
    <w:p w:rsidR="00C8285F" w:rsidRPr="00C719B9" w:rsidRDefault="00C8285F" w:rsidP="00C8285F">
      <w:pPr>
        <w:rPr>
          <w:rFonts w:ascii="Arial" w:hAnsi="Arial" w:cs="Arial"/>
          <w:b/>
        </w:rPr>
      </w:pPr>
    </w:p>
    <w:p w:rsidR="00C719B9" w:rsidRPr="00C719B9" w:rsidRDefault="00C719B9" w:rsidP="00C8285F">
      <w:pPr>
        <w:rPr>
          <w:rFonts w:ascii="Arial" w:hAnsi="Arial" w:cs="Arial"/>
          <w:b/>
        </w:rPr>
      </w:pPr>
    </w:p>
    <w:p w:rsidR="00C8285F" w:rsidRPr="00C719B9" w:rsidRDefault="00C8285F" w:rsidP="00C8285F">
      <w:pPr>
        <w:jc w:val="center"/>
        <w:rPr>
          <w:rFonts w:ascii="Arial" w:hAnsi="Arial" w:cs="Arial"/>
          <w:b/>
        </w:rPr>
      </w:pPr>
      <w:r w:rsidRPr="00C719B9">
        <w:rPr>
          <w:rFonts w:ascii="Arial" w:hAnsi="Arial" w:cs="Arial"/>
          <w:b/>
        </w:rPr>
        <w:t>DECRETA</w:t>
      </w:r>
      <w:r w:rsidR="00BA0177" w:rsidRPr="00C719B9">
        <w:rPr>
          <w:rFonts w:ascii="Arial" w:hAnsi="Arial" w:cs="Arial"/>
          <w:b/>
        </w:rPr>
        <w:t>:</w:t>
      </w:r>
    </w:p>
    <w:p w:rsidR="00BA0177" w:rsidRPr="00C719B9" w:rsidRDefault="00BA0177" w:rsidP="00C8285F">
      <w:pPr>
        <w:jc w:val="center"/>
        <w:rPr>
          <w:rFonts w:ascii="Arial" w:hAnsi="Arial" w:cs="Arial"/>
          <w:b/>
        </w:rPr>
      </w:pPr>
    </w:p>
    <w:p w:rsidR="00C719B9" w:rsidRPr="00C719B9" w:rsidRDefault="00C719B9" w:rsidP="00C8285F">
      <w:pPr>
        <w:jc w:val="center"/>
        <w:rPr>
          <w:rFonts w:ascii="Arial" w:hAnsi="Arial" w:cs="Arial"/>
          <w:b/>
        </w:rPr>
      </w:pPr>
    </w:p>
    <w:p w:rsidR="00C8285F" w:rsidRPr="00C719B9" w:rsidRDefault="00C8285F" w:rsidP="00C8285F">
      <w:pPr>
        <w:jc w:val="both"/>
        <w:rPr>
          <w:rFonts w:ascii="Arial" w:hAnsi="Arial" w:cs="Arial"/>
        </w:rPr>
      </w:pPr>
      <w:r w:rsidRPr="00C719B9">
        <w:rPr>
          <w:rFonts w:ascii="Arial" w:hAnsi="Arial" w:cs="Arial"/>
          <w:b/>
        </w:rPr>
        <w:t>ARTÍCULO 1°:</w:t>
      </w:r>
      <w:r w:rsidR="00B660C3" w:rsidRPr="00C719B9">
        <w:rPr>
          <w:rFonts w:ascii="Arial" w:hAnsi="Arial" w:cs="Arial"/>
        </w:rPr>
        <w:t xml:space="preserve"> </w:t>
      </w:r>
      <w:r w:rsidRPr="00C719B9">
        <w:rPr>
          <w:rFonts w:ascii="Arial" w:hAnsi="Arial" w:cs="Arial"/>
        </w:rPr>
        <w:t xml:space="preserve">Adiciónese un artículo transitorio a la Ley 1564 de 2012 por medio de la cual se expidió el Código General del Proceso, el cual tendrá el siguiente tenor: </w:t>
      </w:r>
    </w:p>
    <w:p w:rsidR="00B660C3" w:rsidRPr="00C719B9" w:rsidRDefault="00B660C3" w:rsidP="00C8285F">
      <w:pPr>
        <w:jc w:val="both"/>
        <w:rPr>
          <w:rFonts w:ascii="Arial" w:hAnsi="Arial" w:cs="Arial"/>
          <w:b/>
        </w:rPr>
      </w:pPr>
    </w:p>
    <w:p w:rsidR="00F019BE" w:rsidRPr="00C719B9" w:rsidRDefault="00C8285F" w:rsidP="00C8285F">
      <w:pPr>
        <w:jc w:val="both"/>
        <w:rPr>
          <w:rFonts w:ascii="Arial" w:hAnsi="Arial" w:cs="Arial"/>
        </w:rPr>
      </w:pPr>
      <w:r w:rsidRPr="00C719B9">
        <w:rPr>
          <w:rFonts w:ascii="Arial" w:hAnsi="Arial" w:cs="Arial"/>
          <w:b/>
        </w:rPr>
        <w:t>ARTÍCULO 430A TRANSITORIO.</w:t>
      </w:r>
      <w:r w:rsidRPr="00C719B9">
        <w:rPr>
          <w:rFonts w:ascii="Arial" w:hAnsi="Arial" w:cs="Arial"/>
        </w:rPr>
        <w:t xml:space="preserve"> </w:t>
      </w:r>
      <w:r w:rsidRPr="00C719B9">
        <w:rPr>
          <w:rFonts w:ascii="Arial" w:hAnsi="Arial" w:cs="Arial"/>
          <w:b/>
        </w:rPr>
        <w:t>SUSPENSIÓN MANDAMIENTO DE PAGO</w:t>
      </w:r>
      <w:r w:rsidRPr="00C719B9">
        <w:rPr>
          <w:rFonts w:ascii="Arial" w:hAnsi="Arial" w:cs="Arial"/>
        </w:rPr>
        <w:t xml:space="preserve">. Suspéndanse los efectos del mandamiento de pago y la ejecución de todo aquel librado en procesos ejecutivos de mínima y menor cuantía, originados o derivados en pretensiones, obligaciones o deudas causadas e incumplidas desde la declaratoria de emergencia sanitaria ordenada por el Gobierno Nacional el 12 de marzo de 2020, hasta </w:t>
      </w:r>
      <w:r w:rsidR="00BA0177" w:rsidRPr="00C719B9">
        <w:rPr>
          <w:rFonts w:ascii="Arial" w:hAnsi="Arial" w:cs="Arial"/>
        </w:rPr>
        <w:t>diez (10</w:t>
      </w:r>
      <w:r w:rsidRPr="00C719B9">
        <w:rPr>
          <w:rFonts w:ascii="Arial" w:hAnsi="Arial" w:cs="Arial"/>
        </w:rPr>
        <w:t>) meses después que la</w:t>
      </w:r>
      <w:r w:rsidR="00F019BE" w:rsidRPr="00C719B9">
        <w:rPr>
          <w:rFonts w:ascii="Arial" w:hAnsi="Arial" w:cs="Arial"/>
        </w:rPr>
        <w:t xml:space="preserve"> presente ley entre en vigencia.</w:t>
      </w:r>
    </w:p>
    <w:p w:rsidR="00F019BE" w:rsidRPr="00C719B9" w:rsidRDefault="00F019BE" w:rsidP="00C8285F">
      <w:pPr>
        <w:jc w:val="both"/>
        <w:rPr>
          <w:rFonts w:ascii="Arial" w:hAnsi="Arial" w:cs="Arial"/>
        </w:rPr>
      </w:pPr>
    </w:p>
    <w:p w:rsidR="00C8285F" w:rsidRPr="00C719B9" w:rsidRDefault="00C8285F" w:rsidP="00C8285F">
      <w:pPr>
        <w:jc w:val="both"/>
        <w:rPr>
          <w:rFonts w:ascii="Arial" w:hAnsi="Arial" w:cs="Arial"/>
        </w:rPr>
      </w:pPr>
      <w:r w:rsidRPr="00C719B9">
        <w:rPr>
          <w:rFonts w:ascii="Arial" w:hAnsi="Arial" w:cs="Arial"/>
          <w:b/>
        </w:rPr>
        <w:t>PARÁGRAFO 1:</w:t>
      </w:r>
      <w:r w:rsidRPr="00C719B9">
        <w:rPr>
          <w:rFonts w:ascii="Arial" w:hAnsi="Arial" w:cs="Arial"/>
        </w:rPr>
        <w:t xml:space="preserve"> Para que el deudor sea beneficiario del presente artículo deberá solicitarlo dentro del mismo término que tiene para proponer excepciones de mérito, y acreditar alguna de las siguientes condiciones: </w:t>
      </w:r>
    </w:p>
    <w:p w:rsidR="00C8285F" w:rsidRPr="00C719B9" w:rsidRDefault="00C8285F" w:rsidP="00C8285F">
      <w:pPr>
        <w:jc w:val="both"/>
        <w:rPr>
          <w:rFonts w:ascii="Arial" w:hAnsi="Arial" w:cs="Arial"/>
        </w:rPr>
      </w:pPr>
      <w:r w:rsidRPr="00C719B9">
        <w:rPr>
          <w:rFonts w:ascii="Arial" w:hAnsi="Arial" w:cs="Arial"/>
        </w:rPr>
        <w:t xml:space="preserve">a.) Pérdida del empleo con fecha posterior al 12 de marzo de 2020; o, b.) Pérdida, ausencia o disminución considerable de ingresos que recibía de manera regular con posterioridad al 12 de marzo de 2020; o, c.) Estar clasificado como Microempresa o Pequeña Empresa en los términos del artículo 2° de la Ley 590 de 2000 y el Decreto 957 de 2019; o, d.) Empresa de Economía Solidaria a las que se refieren los artículos 4° de la Ley 79 de 1988 y 6° de la Ley 454 de 1998. </w:t>
      </w:r>
    </w:p>
    <w:p w:rsidR="009521C4" w:rsidRDefault="009521C4" w:rsidP="00C8285F">
      <w:pPr>
        <w:jc w:val="both"/>
        <w:rPr>
          <w:rFonts w:ascii="Arial" w:hAnsi="Arial" w:cs="Arial"/>
          <w:b/>
        </w:rPr>
      </w:pPr>
    </w:p>
    <w:p w:rsidR="00C8285F" w:rsidRPr="00C719B9" w:rsidRDefault="00C8285F" w:rsidP="00C8285F">
      <w:pPr>
        <w:jc w:val="both"/>
        <w:rPr>
          <w:rFonts w:ascii="Arial" w:hAnsi="Arial" w:cs="Arial"/>
        </w:rPr>
      </w:pPr>
      <w:r w:rsidRPr="00C719B9">
        <w:rPr>
          <w:rFonts w:ascii="Arial" w:hAnsi="Arial" w:cs="Arial"/>
          <w:b/>
        </w:rPr>
        <w:t>PARÁGRAFO 2:</w:t>
      </w:r>
      <w:r w:rsidRPr="00C719B9">
        <w:rPr>
          <w:rFonts w:ascii="Arial" w:hAnsi="Arial" w:cs="Arial"/>
        </w:rPr>
        <w:t xml:space="preserve"> Los procesos ejecutivos de mínima y menor cuantía que se hayan adelantado o que se adelanten en contra de los anteriores deudores, solo pueden incluir para su cobro, únicamente las cuotas en mora sin que sea posible la ejecución en virtud de la exigibilidad anticipada derivada de una clausula </w:t>
      </w:r>
      <w:proofErr w:type="spellStart"/>
      <w:r w:rsidRPr="00C719B9">
        <w:rPr>
          <w:rFonts w:ascii="Arial" w:hAnsi="Arial" w:cs="Arial"/>
        </w:rPr>
        <w:t>aceleratoria</w:t>
      </w:r>
      <w:proofErr w:type="spellEnd"/>
      <w:r w:rsidRPr="00C719B9">
        <w:rPr>
          <w:rFonts w:ascii="Arial" w:hAnsi="Arial" w:cs="Arial"/>
        </w:rPr>
        <w:t xml:space="preserve">. </w:t>
      </w:r>
    </w:p>
    <w:p w:rsidR="00B660C3" w:rsidRPr="00C719B9" w:rsidRDefault="00B660C3" w:rsidP="00C8285F">
      <w:pPr>
        <w:jc w:val="both"/>
        <w:rPr>
          <w:rFonts w:ascii="Arial" w:hAnsi="Arial" w:cs="Arial"/>
          <w:b/>
        </w:rPr>
      </w:pPr>
    </w:p>
    <w:p w:rsidR="00C8285F" w:rsidRPr="00C719B9" w:rsidRDefault="00C8285F" w:rsidP="00C8285F">
      <w:pPr>
        <w:jc w:val="both"/>
        <w:rPr>
          <w:rFonts w:ascii="Arial" w:hAnsi="Arial" w:cs="Arial"/>
        </w:rPr>
      </w:pPr>
      <w:r w:rsidRPr="00C719B9">
        <w:rPr>
          <w:rFonts w:ascii="Arial" w:hAnsi="Arial" w:cs="Arial"/>
          <w:b/>
        </w:rPr>
        <w:lastRenderedPageBreak/>
        <w:t>PARÁGRAFO 3:</w:t>
      </w:r>
      <w:r w:rsidRPr="00C719B9">
        <w:rPr>
          <w:rFonts w:ascii="Arial" w:hAnsi="Arial" w:cs="Arial"/>
        </w:rPr>
        <w:t xml:space="preserve"> En cualquier momento podrá terminarse el proceso si se demuestra el pago o el acuerdo de pago sobre el saldo constituido en mora, sin tener en cuenta obligaciones cuya exigibilidad anticipada sea derivada de una clausula </w:t>
      </w:r>
      <w:proofErr w:type="spellStart"/>
      <w:r w:rsidRPr="00C719B9">
        <w:rPr>
          <w:rFonts w:ascii="Arial" w:hAnsi="Arial" w:cs="Arial"/>
        </w:rPr>
        <w:t>aceleratoria</w:t>
      </w:r>
      <w:proofErr w:type="spellEnd"/>
      <w:r w:rsidRPr="00C719B9">
        <w:rPr>
          <w:rFonts w:ascii="Arial" w:hAnsi="Arial" w:cs="Arial"/>
        </w:rPr>
        <w:t xml:space="preserve">. </w:t>
      </w:r>
    </w:p>
    <w:p w:rsidR="00B660C3" w:rsidRPr="00C719B9" w:rsidRDefault="00B660C3" w:rsidP="00C8285F">
      <w:pPr>
        <w:jc w:val="both"/>
        <w:rPr>
          <w:rFonts w:ascii="Arial" w:hAnsi="Arial" w:cs="Arial"/>
          <w:b/>
        </w:rPr>
      </w:pPr>
    </w:p>
    <w:p w:rsidR="00C8285F" w:rsidRPr="00C719B9" w:rsidRDefault="00C8285F" w:rsidP="00C8285F">
      <w:pPr>
        <w:jc w:val="both"/>
        <w:rPr>
          <w:rFonts w:ascii="Arial" w:hAnsi="Arial" w:cs="Arial"/>
        </w:rPr>
      </w:pPr>
      <w:r w:rsidRPr="00C719B9">
        <w:rPr>
          <w:rFonts w:ascii="Arial" w:hAnsi="Arial" w:cs="Arial"/>
          <w:b/>
        </w:rPr>
        <w:t>PARÁGRAFO 4:</w:t>
      </w:r>
      <w:r w:rsidRPr="00C719B9">
        <w:rPr>
          <w:rFonts w:ascii="Arial" w:hAnsi="Arial" w:cs="Arial"/>
        </w:rPr>
        <w:t xml:space="preserve"> Los procesos a los que refiere el presente artículo e iniciados antes de la vigencia de esta ley podrán continuar, pero no se podrán decretar y practicar nuevas medidas cautelares. Para los procesos iniciados con posterioridad a la presente ley, sin perjuicio de que los mismos puedan continuar, no procede el decreto y práctica de medidas cautelares. </w:t>
      </w:r>
    </w:p>
    <w:p w:rsidR="00B660C3" w:rsidRPr="00C719B9" w:rsidRDefault="00B660C3" w:rsidP="00C8285F">
      <w:pPr>
        <w:jc w:val="both"/>
        <w:rPr>
          <w:rFonts w:ascii="Arial" w:hAnsi="Arial" w:cs="Arial"/>
          <w:b/>
        </w:rPr>
      </w:pPr>
    </w:p>
    <w:p w:rsidR="00B660C3" w:rsidRPr="00C719B9" w:rsidRDefault="00C8285F" w:rsidP="00C8285F">
      <w:pPr>
        <w:jc w:val="both"/>
        <w:rPr>
          <w:rFonts w:ascii="Arial" w:hAnsi="Arial" w:cs="Arial"/>
        </w:rPr>
      </w:pPr>
      <w:r w:rsidRPr="00C719B9">
        <w:rPr>
          <w:rFonts w:ascii="Arial" w:hAnsi="Arial" w:cs="Arial"/>
          <w:b/>
        </w:rPr>
        <w:t>PARÁGRAFO 5:</w:t>
      </w:r>
      <w:r w:rsidRPr="00C719B9">
        <w:rPr>
          <w:rFonts w:ascii="Arial" w:hAnsi="Arial" w:cs="Arial"/>
        </w:rPr>
        <w:t xml:space="preserve"> Teniendo en cuenta que los procesos a los que se refiere el presente artículo </w:t>
      </w:r>
      <w:r w:rsidR="00B660C3" w:rsidRPr="00C719B9">
        <w:rPr>
          <w:rFonts w:ascii="Arial" w:hAnsi="Arial" w:cs="Arial"/>
        </w:rPr>
        <w:t xml:space="preserve">e iniciados antes de la vigencia de esta ley podrán continuar su trámite, </w:t>
      </w:r>
      <w:r w:rsidRPr="00C719B9">
        <w:rPr>
          <w:rFonts w:ascii="Arial" w:hAnsi="Arial" w:cs="Arial"/>
        </w:rPr>
        <w:t xml:space="preserve">el remate de los bienes cautelados y la entrega de dinero al acreedor, solo podrá efectuarse en los siguientes eventos: </w:t>
      </w:r>
    </w:p>
    <w:p w:rsidR="00B660C3" w:rsidRPr="00C719B9" w:rsidRDefault="00B660C3" w:rsidP="00C8285F">
      <w:pPr>
        <w:jc w:val="both"/>
        <w:rPr>
          <w:rFonts w:ascii="Arial" w:hAnsi="Arial" w:cs="Arial"/>
        </w:rPr>
      </w:pPr>
    </w:p>
    <w:p w:rsidR="00B660C3" w:rsidRPr="00C719B9" w:rsidRDefault="00C8285F" w:rsidP="00C8285F">
      <w:pPr>
        <w:jc w:val="both"/>
        <w:rPr>
          <w:rFonts w:ascii="Arial" w:hAnsi="Arial" w:cs="Arial"/>
        </w:rPr>
      </w:pPr>
      <w:r w:rsidRPr="00C719B9">
        <w:rPr>
          <w:rFonts w:ascii="Arial" w:hAnsi="Arial" w:cs="Arial"/>
        </w:rPr>
        <w:t xml:space="preserve">a.) Por mutuo acuerdo entre las partes, o, </w:t>
      </w:r>
    </w:p>
    <w:p w:rsidR="00B660C3" w:rsidRPr="00C719B9" w:rsidRDefault="00C8285F" w:rsidP="00C8285F">
      <w:pPr>
        <w:jc w:val="both"/>
        <w:rPr>
          <w:rFonts w:ascii="Arial" w:hAnsi="Arial" w:cs="Arial"/>
        </w:rPr>
      </w:pPr>
      <w:r w:rsidRPr="00C719B9">
        <w:rPr>
          <w:rFonts w:ascii="Arial" w:hAnsi="Arial" w:cs="Arial"/>
        </w:rPr>
        <w:t>b.) Una vez venza el periodo de suspensión al que se refiere la presente ley.</w:t>
      </w:r>
    </w:p>
    <w:p w:rsidR="00B660C3" w:rsidRPr="00C719B9" w:rsidRDefault="00B660C3" w:rsidP="00C8285F">
      <w:pPr>
        <w:jc w:val="both"/>
        <w:rPr>
          <w:rFonts w:ascii="Arial" w:hAnsi="Arial" w:cs="Arial"/>
        </w:rPr>
      </w:pPr>
    </w:p>
    <w:p w:rsidR="00C8285F" w:rsidRPr="00C719B9" w:rsidRDefault="00B660C3" w:rsidP="00C8285F">
      <w:pPr>
        <w:jc w:val="both"/>
        <w:rPr>
          <w:rFonts w:ascii="Arial" w:hAnsi="Arial" w:cs="Arial"/>
        </w:rPr>
      </w:pPr>
      <w:r w:rsidRPr="00C719B9">
        <w:rPr>
          <w:rFonts w:ascii="Arial" w:hAnsi="Arial" w:cs="Arial"/>
          <w:b/>
        </w:rPr>
        <w:t xml:space="preserve">PARÁGRAFO 6: </w:t>
      </w:r>
      <w:r w:rsidRPr="00C719B9">
        <w:rPr>
          <w:rFonts w:ascii="Arial" w:hAnsi="Arial" w:cs="Arial"/>
        </w:rPr>
        <w:t>Lo dispuesto en este artículo no se aplica para los procesos ejecutivos por obligación alimentaria.</w:t>
      </w:r>
      <w:r w:rsidR="00C8285F" w:rsidRPr="00C719B9">
        <w:rPr>
          <w:rFonts w:ascii="Arial" w:hAnsi="Arial" w:cs="Arial"/>
        </w:rPr>
        <w:t xml:space="preserve"> </w:t>
      </w:r>
    </w:p>
    <w:p w:rsidR="00B660C3" w:rsidRPr="00C719B9" w:rsidRDefault="00B660C3" w:rsidP="00C8285F">
      <w:pPr>
        <w:jc w:val="both"/>
        <w:rPr>
          <w:rFonts w:ascii="Arial" w:hAnsi="Arial" w:cs="Arial"/>
          <w:b/>
        </w:rPr>
      </w:pPr>
    </w:p>
    <w:p w:rsidR="00C8285F" w:rsidRPr="00C719B9" w:rsidRDefault="00C8285F" w:rsidP="00C8285F">
      <w:pPr>
        <w:jc w:val="both"/>
        <w:rPr>
          <w:rFonts w:ascii="Arial" w:hAnsi="Arial" w:cs="Arial"/>
          <w:b/>
        </w:rPr>
      </w:pPr>
      <w:r w:rsidRPr="00C719B9">
        <w:rPr>
          <w:rFonts w:ascii="Arial" w:hAnsi="Arial" w:cs="Arial"/>
          <w:b/>
        </w:rPr>
        <w:t>ARTÍCULO 2°.</w:t>
      </w:r>
      <w:r w:rsidRPr="00C719B9">
        <w:rPr>
          <w:rFonts w:ascii="Arial" w:hAnsi="Arial" w:cs="Arial"/>
        </w:rPr>
        <w:t xml:space="preserve"> </w:t>
      </w:r>
      <w:r w:rsidRPr="00C719B9">
        <w:rPr>
          <w:rFonts w:ascii="Arial" w:hAnsi="Arial" w:cs="Arial"/>
          <w:b/>
        </w:rPr>
        <w:t>VIGENCIA</w:t>
      </w:r>
      <w:r w:rsidRPr="00C719B9">
        <w:rPr>
          <w:rFonts w:ascii="Arial" w:hAnsi="Arial" w:cs="Arial"/>
        </w:rPr>
        <w:t xml:space="preserve">, La presente ley rige a partir de su promulgación, y aplica para los procesos ejecutivos de mínima y menor cuantía iniciados desde la declaratoria de emergencia sanitaria ordenada por el Gobierno Nacional el 12 de marzo de 2020, hasta </w:t>
      </w:r>
      <w:r w:rsidR="00F019BE" w:rsidRPr="00C719B9">
        <w:rPr>
          <w:rFonts w:ascii="Arial" w:hAnsi="Arial" w:cs="Arial"/>
        </w:rPr>
        <w:t xml:space="preserve">diez </w:t>
      </w:r>
      <w:r w:rsidRPr="00C719B9">
        <w:rPr>
          <w:rFonts w:ascii="Arial" w:hAnsi="Arial" w:cs="Arial"/>
        </w:rPr>
        <w:t>(</w:t>
      </w:r>
      <w:r w:rsidR="00F019BE" w:rsidRPr="00C719B9">
        <w:rPr>
          <w:rFonts w:ascii="Arial" w:hAnsi="Arial" w:cs="Arial"/>
        </w:rPr>
        <w:t>10</w:t>
      </w:r>
      <w:r w:rsidRPr="00C719B9">
        <w:rPr>
          <w:rFonts w:ascii="Arial" w:hAnsi="Arial" w:cs="Arial"/>
        </w:rPr>
        <w:t xml:space="preserve">) meses después que la </w:t>
      </w:r>
      <w:r w:rsidR="00F019BE" w:rsidRPr="00C719B9">
        <w:rPr>
          <w:rFonts w:ascii="Arial" w:hAnsi="Arial" w:cs="Arial"/>
        </w:rPr>
        <w:t>presente ley entre en vigencia.</w:t>
      </w:r>
      <w:r w:rsidR="00F019BE" w:rsidRPr="00C719B9">
        <w:rPr>
          <w:rFonts w:ascii="Arial" w:hAnsi="Arial" w:cs="Arial"/>
          <w:b/>
        </w:rPr>
        <w:t xml:space="preserve"> </w:t>
      </w:r>
    </w:p>
    <w:p w:rsidR="009521C4" w:rsidRPr="00C719B9" w:rsidRDefault="009521C4">
      <w:pPr>
        <w:spacing w:after="240" w:line="276" w:lineRule="auto"/>
        <w:jc w:val="both"/>
        <w:rPr>
          <w:rFonts w:ascii="Arial" w:eastAsia="Century Gothic" w:hAnsi="Arial" w:cs="Arial"/>
          <w:color w:val="000000"/>
        </w:rPr>
      </w:pPr>
      <w:bookmarkStart w:id="0" w:name="_GoBack"/>
      <w:bookmarkEnd w:id="0"/>
    </w:p>
    <w:p w:rsidR="008D0B2B" w:rsidRPr="00C719B9" w:rsidRDefault="00127274">
      <w:pPr>
        <w:spacing w:after="160" w:line="259" w:lineRule="auto"/>
        <w:jc w:val="both"/>
        <w:rPr>
          <w:rFonts w:ascii="Arial" w:eastAsia="Century Gothic" w:hAnsi="Arial" w:cs="Arial"/>
          <w:color w:val="000000" w:themeColor="text1"/>
          <w:highlight w:val="white"/>
        </w:rPr>
      </w:pPr>
      <w:r w:rsidRPr="00C719B9">
        <w:rPr>
          <w:rFonts w:ascii="Arial" w:eastAsia="Century Gothic" w:hAnsi="Arial" w:cs="Arial"/>
          <w:highlight w:val="white"/>
        </w:rPr>
        <w:t xml:space="preserve">En los anteriores términos fue aprobado </w:t>
      </w:r>
      <w:r w:rsidR="008455FF" w:rsidRPr="00C719B9">
        <w:rPr>
          <w:rFonts w:ascii="Arial" w:eastAsia="Century Gothic" w:hAnsi="Arial" w:cs="Arial"/>
          <w:highlight w:val="white"/>
        </w:rPr>
        <w:t>con modificaciones el presente P</w:t>
      </w:r>
      <w:r w:rsidRPr="00C719B9">
        <w:rPr>
          <w:rFonts w:ascii="Arial" w:eastAsia="Century Gothic" w:hAnsi="Arial" w:cs="Arial"/>
          <w:highlight w:val="white"/>
        </w:rPr>
        <w:t>royecto d</w:t>
      </w:r>
      <w:r w:rsidR="008455FF" w:rsidRPr="00C719B9">
        <w:rPr>
          <w:rFonts w:ascii="Arial" w:eastAsia="Century Gothic" w:hAnsi="Arial" w:cs="Arial"/>
          <w:highlight w:val="white"/>
        </w:rPr>
        <w:t>e Ley según consta en A</w:t>
      </w:r>
      <w:r w:rsidR="006625C1" w:rsidRPr="00C719B9">
        <w:rPr>
          <w:rFonts w:ascii="Arial" w:eastAsia="Century Gothic" w:hAnsi="Arial" w:cs="Arial"/>
          <w:highlight w:val="white"/>
        </w:rPr>
        <w:t xml:space="preserve">cta </w:t>
      </w:r>
      <w:r w:rsidR="00C719B9" w:rsidRPr="00C719B9">
        <w:rPr>
          <w:rFonts w:ascii="Arial" w:eastAsia="Century Gothic" w:hAnsi="Arial" w:cs="Arial"/>
          <w:highlight w:val="white"/>
        </w:rPr>
        <w:t>No. 37</w:t>
      </w:r>
      <w:r w:rsidR="008455FF" w:rsidRPr="00C719B9">
        <w:rPr>
          <w:rFonts w:ascii="Arial" w:eastAsia="Century Gothic" w:hAnsi="Arial" w:cs="Arial"/>
          <w:highlight w:val="white"/>
        </w:rPr>
        <w:t xml:space="preserve"> de Sesión Presencial </w:t>
      </w:r>
      <w:r w:rsidRPr="00C719B9">
        <w:rPr>
          <w:rFonts w:ascii="Arial" w:eastAsia="Century Gothic" w:hAnsi="Arial" w:cs="Arial"/>
          <w:highlight w:val="white"/>
        </w:rPr>
        <w:t xml:space="preserve">de </w:t>
      </w:r>
      <w:r w:rsidR="00C719B9" w:rsidRPr="00C719B9">
        <w:rPr>
          <w:rFonts w:ascii="Arial" w:eastAsia="Century Gothic" w:hAnsi="Arial" w:cs="Arial"/>
          <w:highlight w:val="white"/>
        </w:rPr>
        <w:t>marzo 29 de 2022</w:t>
      </w:r>
      <w:r w:rsidR="008455FF" w:rsidRPr="00C719B9">
        <w:rPr>
          <w:rFonts w:ascii="Arial" w:eastAsia="Century Gothic" w:hAnsi="Arial" w:cs="Arial"/>
          <w:highlight w:val="white"/>
        </w:rPr>
        <w:t>. A</w:t>
      </w:r>
      <w:r w:rsidRPr="00C719B9">
        <w:rPr>
          <w:rFonts w:ascii="Arial" w:eastAsia="Century Gothic" w:hAnsi="Arial" w:cs="Arial"/>
          <w:color w:val="000000" w:themeColor="text1"/>
          <w:highlight w:val="white"/>
        </w:rPr>
        <w:t xml:space="preserve">sí mismo fue anunciado el día </w:t>
      </w:r>
      <w:r w:rsidR="00C719B9" w:rsidRPr="00C719B9">
        <w:rPr>
          <w:rFonts w:ascii="Arial" w:eastAsia="Century Gothic" w:hAnsi="Arial" w:cs="Arial"/>
          <w:color w:val="000000" w:themeColor="text1"/>
          <w:highlight w:val="white"/>
        </w:rPr>
        <w:t>22</w:t>
      </w:r>
      <w:r w:rsidRPr="00C719B9">
        <w:rPr>
          <w:rFonts w:ascii="Arial" w:eastAsia="Century Gothic" w:hAnsi="Arial" w:cs="Arial"/>
          <w:color w:val="000000" w:themeColor="text1"/>
          <w:highlight w:val="white"/>
        </w:rPr>
        <w:t xml:space="preserve"> de </w:t>
      </w:r>
      <w:r w:rsidR="00C719B9" w:rsidRPr="00C719B9">
        <w:rPr>
          <w:rFonts w:ascii="Arial" w:eastAsia="Century Gothic" w:hAnsi="Arial" w:cs="Arial"/>
          <w:color w:val="000000" w:themeColor="text1"/>
          <w:highlight w:val="white"/>
        </w:rPr>
        <w:t>marzo de 2022</w:t>
      </w:r>
      <w:r w:rsidRPr="00C719B9">
        <w:rPr>
          <w:rFonts w:ascii="Arial" w:eastAsia="Century Gothic" w:hAnsi="Arial" w:cs="Arial"/>
          <w:color w:val="000000" w:themeColor="text1"/>
          <w:highlight w:val="white"/>
        </w:rPr>
        <w:t xml:space="preserve">, según consta en el acta </w:t>
      </w:r>
      <w:r w:rsidR="00C719B9" w:rsidRPr="00C719B9">
        <w:rPr>
          <w:rFonts w:ascii="Arial" w:eastAsia="Century Gothic" w:hAnsi="Arial" w:cs="Arial"/>
          <w:color w:val="000000" w:themeColor="text1"/>
          <w:highlight w:val="white"/>
        </w:rPr>
        <w:t>36</w:t>
      </w:r>
      <w:r w:rsidR="008455FF" w:rsidRPr="00C719B9">
        <w:rPr>
          <w:rFonts w:ascii="Arial" w:eastAsia="Century Gothic" w:hAnsi="Arial" w:cs="Arial"/>
          <w:color w:val="000000" w:themeColor="text1"/>
          <w:highlight w:val="white"/>
        </w:rPr>
        <w:t xml:space="preserve"> de Sesión Presencial</w:t>
      </w:r>
      <w:r w:rsidRPr="00C719B9">
        <w:rPr>
          <w:rFonts w:ascii="Arial" w:eastAsia="Century Gothic" w:hAnsi="Arial" w:cs="Arial"/>
          <w:color w:val="000000" w:themeColor="text1"/>
          <w:highlight w:val="white"/>
        </w:rPr>
        <w:t xml:space="preserve"> de esa misma fecha.</w:t>
      </w:r>
    </w:p>
    <w:p w:rsidR="00D8621E" w:rsidRPr="00C719B9" w:rsidRDefault="00D8621E" w:rsidP="006625C1">
      <w:pPr>
        <w:pStyle w:val="Textoindependiente"/>
        <w:rPr>
          <w:rFonts w:ascii="Arial" w:hAnsi="Arial" w:cs="Arial"/>
        </w:rPr>
      </w:pPr>
    </w:p>
    <w:p w:rsidR="00D8621E" w:rsidRPr="00C719B9" w:rsidRDefault="00D8621E" w:rsidP="008455FF">
      <w:pPr>
        <w:pStyle w:val="Textoindependiente"/>
        <w:rPr>
          <w:rFonts w:ascii="Arial" w:hAnsi="Arial" w:cs="Arial"/>
        </w:rPr>
      </w:pPr>
    </w:p>
    <w:p w:rsidR="00D8621E" w:rsidRPr="00C719B9" w:rsidRDefault="00D8621E" w:rsidP="008455FF">
      <w:pPr>
        <w:tabs>
          <w:tab w:val="left" w:pos="4820"/>
        </w:tabs>
        <w:jc w:val="center"/>
        <w:rPr>
          <w:rFonts w:ascii="Arial" w:eastAsia="Century Gothic" w:hAnsi="Arial" w:cs="Arial"/>
          <w:highlight w:val="white"/>
        </w:rPr>
      </w:pPr>
    </w:p>
    <w:p w:rsidR="00D8621E" w:rsidRPr="00C719B9" w:rsidRDefault="00C92553" w:rsidP="008455FF">
      <w:pPr>
        <w:tabs>
          <w:tab w:val="left" w:pos="4820"/>
        </w:tabs>
        <w:jc w:val="both"/>
        <w:rPr>
          <w:rFonts w:ascii="Arial" w:eastAsia="Century Gothic" w:hAnsi="Arial" w:cs="Arial"/>
          <w:highlight w:val="white"/>
        </w:rPr>
      </w:pPr>
      <w:r w:rsidRPr="00C719B9">
        <w:rPr>
          <w:rFonts w:ascii="Arial" w:eastAsia="Century Gothic" w:hAnsi="Arial" w:cs="Arial"/>
          <w:b/>
        </w:rPr>
        <w:t>CÉSAR A. LORDUY MALDONADO</w:t>
      </w:r>
      <w:r w:rsidR="00D8621E" w:rsidRPr="00C719B9">
        <w:rPr>
          <w:rFonts w:ascii="Arial" w:eastAsia="Century Gothic" w:hAnsi="Arial" w:cs="Arial"/>
          <w:highlight w:val="white"/>
        </w:rPr>
        <w:tab/>
      </w:r>
      <w:r w:rsidR="00714F62" w:rsidRPr="00C719B9">
        <w:rPr>
          <w:rFonts w:ascii="Arial" w:eastAsia="Century Gothic" w:hAnsi="Arial" w:cs="Arial"/>
          <w:b/>
        </w:rPr>
        <w:t>JULIO CÉSAR TRIANA QUINTERO</w:t>
      </w:r>
    </w:p>
    <w:p w:rsidR="00D8621E" w:rsidRPr="00C719B9" w:rsidRDefault="00D8621E" w:rsidP="008455FF">
      <w:pPr>
        <w:tabs>
          <w:tab w:val="left" w:pos="4820"/>
        </w:tabs>
        <w:jc w:val="both"/>
        <w:rPr>
          <w:rFonts w:ascii="Arial" w:eastAsia="Century Gothic" w:hAnsi="Arial" w:cs="Arial"/>
          <w:highlight w:val="white"/>
        </w:rPr>
      </w:pPr>
      <w:r w:rsidRPr="00C719B9">
        <w:rPr>
          <w:rFonts w:ascii="Arial" w:eastAsia="Century Gothic" w:hAnsi="Arial" w:cs="Arial"/>
          <w:highlight w:val="white"/>
        </w:rPr>
        <w:t xml:space="preserve">Ponente </w:t>
      </w:r>
      <w:r w:rsidR="00714F62" w:rsidRPr="00C719B9">
        <w:rPr>
          <w:rFonts w:ascii="Arial" w:eastAsia="Century Gothic" w:hAnsi="Arial" w:cs="Arial"/>
          <w:highlight w:val="white"/>
        </w:rPr>
        <w:t>Coordinador</w:t>
      </w:r>
      <w:r w:rsidR="00714F62" w:rsidRPr="00C719B9">
        <w:rPr>
          <w:rFonts w:ascii="Arial" w:eastAsia="Century Gothic" w:hAnsi="Arial" w:cs="Arial"/>
          <w:highlight w:val="white"/>
        </w:rPr>
        <w:tab/>
        <w:t>Presidente</w:t>
      </w:r>
    </w:p>
    <w:p w:rsidR="00D8621E" w:rsidRPr="00C719B9" w:rsidRDefault="00D8621E" w:rsidP="00D8621E">
      <w:pPr>
        <w:spacing w:after="160" w:line="259" w:lineRule="auto"/>
        <w:jc w:val="center"/>
        <w:rPr>
          <w:rFonts w:ascii="Arial" w:eastAsia="Century Gothic" w:hAnsi="Arial" w:cs="Arial"/>
          <w:highlight w:val="white"/>
        </w:rPr>
      </w:pPr>
    </w:p>
    <w:p w:rsidR="00D8621E" w:rsidRPr="00C719B9" w:rsidRDefault="00D8621E" w:rsidP="00D8621E">
      <w:pPr>
        <w:spacing w:after="160" w:line="259" w:lineRule="auto"/>
        <w:jc w:val="center"/>
        <w:rPr>
          <w:rFonts w:ascii="Arial" w:eastAsia="Century Gothic" w:hAnsi="Arial" w:cs="Arial"/>
          <w:highlight w:val="white"/>
        </w:rPr>
      </w:pPr>
    </w:p>
    <w:p w:rsidR="008D0B2B" w:rsidRPr="00C719B9" w:rsidRDefault="008D0B2B" w:rsidP="006625C1">
      <w:pPr>
        <w:spacing w:after="160" w:line="259" w:lineRule="auto"/>
        <w:rPr>
          <w:rFonts w:ascii="Arial" w:eastAsia="Century Gothic" w:hAnsi="Arial" w:cs="Arial"/>
          <w:highlight w:val="white"/>
        </w:rPr>
      </w:pPr>
      <w:bookmarkStart w:id="1" w:name="_gjdgxs" w:colFirst="0" w:colLast="0"/>
      <w:bookmarkEnd w:id="1"/>
    </w:p>
    <w:p w:rsidR="008D0B2B" w:rsidRPr="00C719B9" w:rsidRDefault="008455FF" w:rsidP="006625C1">
      <w:pPr>
        <w:tabs>
          <w:tab w:val="left" w:pos="4820"/>
        </w:tabs>
        <w:jc w:val="both"/>
        <w:rPr>
          <w:rFonts w:ascii="Arial" w:eastAsia="Century Gothic" w:hAnsi="Arial" w:cs="Arial"/>
          <w:b/>
          <w:highlight w:val="white"/>
        </w:rPr>
      </w:pPr>
      <w:r w:rsidRPr="00C719B9">
        <w:rPr>
          <w:rFonts w:ascii="Arial" w:eastAsia="Century Gothic" w:hAnsi="Arial" w:cs="Arial"/>
          <w:b/>
        </w:rPr>
        <w:t xml:space="preserve">            </w:t>
      </w:r>
      <w:r w:rsidR="005A29C3" w:rsidRPr="00C719B9">
        <w:rPr>
          <w:rFonts w:ascii="Arial" w:eastAsia="Century Gothic" w:hAnsi="Arial" w:cs="Arial"/>
          <w:b/>
        </w:rPr>
        <w:t xml:space="preserve">                      </w:t>
      </w:r>
      <w:r w:rsidR="00127274" w:rsidRPr="00C719B9">
        <w:rPr>
          <w:rFonts w:ascii="Arial" w:eastAsia="Century Gothic" w:hAnsi="Arial" w:cs="Arial"/>
          <w:b/>
          <w:highlight w:val="white"/>
        </w:rPr>
        <w:t>AMPARO YANETH CALDERON PERDOMO</w:t>
      </w:r>
    </w:p>
    <w:p w:rsidR="008D0B2B" w:rsidRPr="00C719B9" w:rsidRDefault="008455FF" w:rsidP="006625C1">
      <w:pPr>
        <w:tabs>
          <w:tab w:val="left" w:pos="4820"/>
        </w:tabs>
        <w:jc w:val="both"/>
        <w:rPr>
          <w:rFonts w:ascii="Arial" w:eastAsia="Century Gothic" w:hAnsi="Arial" w:cs="Arial"/>
          <w:highlight w:val="white"/>
        </w:rPr>
      </w:pPr>
      <w:r w:rsidRPr="00C719B9">
        <w:rPr>
          <w:rFonts w:ascii="Arial" w:eastAsia="Century Gothic" w:hAnsi="Arial" w:cs="Arial"/>
          <w:highlight w:val="white"/>
        </w:rPr>
        <w:t xml:space="preserve">                                                          </w:t>
      </w:r>
      <w:r w:rsidR="00127274" w:rsidRPr="00C719B9">
        <w:rPr>
          <w:rFonts w:ascii="Arial" w:eastAsia="Century Gothic" w:hAnsi="Arial" w:cs="Arial"/>
          <w:highlight w:val="white"/>
        </w:rPr>
        <w:t>Secretaria</w:t>
      </w:r>
    </w:p>
    <w:sectPr w:rsidR="008D0B2B" w:rsidRPr="00C719B9">
      <w:headerReference w:type="even" r:id="rId7"/>
      <w:headerReference w:type="default" r:id="rId8"/>
      <w:footerReference w:type="even" r:id="rId9"/>
      <w:footerReference w:type="default" r:id="rId10"/>
      <w:headerReference w:type="first" r:id="rId11"/>
      <w:footerReference w:type="first" r:id="rId12"/>
      <w:pgSz w:w="12242" w:h="15842"/>
      <w:pgMar w:top="1134" w:right="1134" w:bottom="1418" w:left="1418" w:header="709" w:footer="3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55D" w:rsidRDefault="006A555D">
      <w:r>
        <w:separator/>
      </w:r>
    </w:p>
  </w:endnote>
  <w:endnote w:type="continuationSeparator" w:id="0">
    <w:p w:rsidR="006A555D" w:rsidRDefault="006A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E" w:rsidRDefault="006463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478325"/>
      <w:docPartObj>
        <w:docPartGallery w:val="Page Numbers (Bottom of Page)"/>
        <w:docPartUnique/>
      </w:docPartObj>
    </w:sdtPr>
    <w:sdtEndPr/>
    <w:sdtContent>
      <w:p w:rsidR="006463DE" w:rsidRDefault="006463DE">
        <w:pPr>
          <w:pStyle w:val="Piedepgina"/>
          <w:jc w:val="right"/>
        </w:pPr>
        <w:r>
          <w:fldChar w:fldCharType="begin"/>
        </w:r>
        <w:r>
          <w:instrText>PAGE   \* MERGEFORMAT</w:instrText>
        </w:r>
        <w:r>
          <w:fldChar w:fldCharType="separate"/>
        </w:r>
        <w:r w:rsidR="009521C4" w:rsidRPr="009521C4">
          <w:rPr>
            <w:noProof/>
            <w:lang w:val="es-ES"/>
          </w:rPr>
          <w:t>1</w:t>
        </w:r>
        <w:r>
          <w:fldChar w:fldCharType="end"/>
        </w:r>
      </w:p>
    </w:sdtContent>
  </w:sdt>
  <w:p w:rsidR="008D0B2B" w:rsidRPr="00D8621E" w:rsidRDefault="008D0B2B">
    <w:pPr>
      <w:tabs>
        <w:tab w:val="center" w:pos="4419"/>
        <w:tab w:val="right" w:pos="8838"/>
      </w:tabs>
      <w:jc w:val="center"/>
      <w:rPr>
        <w:rFonts w:asciiTheme="majorHAnsi" w:eastAsia="Calibri" w:hAnsiTheme="majorHAnsi" w:cstheme="majorHAnsi"/>
        <w:sz w:val="20"/>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E" w:rsidRDefault="006463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55D" w:rsidRDefault="006A555D">
      <w:r>
        <w:separator/>
      </w:r>
    </w:p>
  </w:footnote>
  <w:footnote w:type="continuationSeparator" w:id="0">
    <w:p w:rsidR="006A555D" w:rsidRDefault="006A5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E" w:rsidRDefault="006463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B2B" w:rsidRDefault="00127274">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1"/>
                  <a:srcRect/>
                  <a:stretch>
                    <a:fillRect/>
                  </a:stretch>
                </pic:blipFill>
                <pic:spPr>
                  <a:xfrm>
                    <a:off x="0" y="0"/>
                    <a:ext cx="2122159" cy="611237"/>
                  </a:xfrm>
                  <a:prstGeom prst="rect">
                    <a:avLst/>
                  </a:prstGeom>
                  <a:ln/>
                </pic:spPr>
              </pic:pic>
            </a:graphicData>
          </a:graphic>
        </wp:inline>
      </w:drawing>
    </w:r>
  </w:p>
  <w:p w:rsidR="008D0B2B" w:rsidRDefault="008D0B2B">
    <w:pPr>
      <w:pBdr>
        <w:top w:val="nil"/>
        <w:left w:val="nil"/>
        <w:bottom w:val="nil"/>
        <w:right w:val="nil"/>
        <w:between w:val="nil"/>
      </w:pBdr>
      <w:tabs>
        <w:tab w:val="center" w:pos="4252"/>
        <w:tab w:val="right" w:pos="8504"/>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E" w:rsidRDefault="006463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F6BD2"/>
    <w:multiLevelType w:val="multilevel"/>
    <w:tmpl w:val="6CBAAD28"/>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E21AF3"/>
    <w:multiLevelType w:val="hybridMultilevel"/>
    <w:tmpl w:val="0A745726"/>
    <w:lvl w:ilvl="0" w:tplc="E2800722">
      <w:start w:val="1"/>
      <w:numFmt w:val="decimal"/>
      <w:lvlText w:val="%1."/>
      <w:lvlJc w:val="left"/>
      <w:pPr>
        <w:ind w:left="650" w:hanging="269"/>
        <w:jc w:val="left"/>
      </w:pPr>
      <w:rPr>
        <w:rFonts w:ascii="Arial MT" w:eastAsia="Arial MT" w:hAnsi="Arial MT" w:cs="Arial MT" w:hint="default"/>
        <w:w w:val="99"/>
        <w:sz w:val="24"/>
        <w:szCs w:val="24"/>
        <w:lang w:val="es-ES" w:eastAsia="en-US" w:bidi="ar-SA"/>
      </w:rPr>
    </w:lvl>
    <w:lvl w:ilvl="1" w:tplc="F732F1AA">
      <w:numFmt w:val="bullet"/>
      <w:lvlText w:val="•"/>
      <w:lvlJc w:val="left"/>
      <w:pPr>
        <w:ind w:left="1528" w:hanging="269"/>
      </w:pPr>
      <w:rPr>
        <w:rFonts w:hint="default"/>
        <w:lang w:val="es-ES" w:eastAsia="en-US" w:bidi="ar-SA"/>
      </w:rPr>
    </w:lvl>
    <w:lvl w:ilvl="2" w:tplc="B4EEC6E4">
      <w:numFmt w:val="bullet"/>
      <w:lvlText w:val="•"/>
      <w:lvlJc w:val="left"/>
      <w:pPr>
        <w:ind w:left="2396" w:hanging="269"/>
      </w:pPr>
      <w:rPr>
        <w:rFonts w:hint="default"/>
        <w:lang w:val="es-ES" w:eastAsia="en-US" w:bidi="ar-SA"/>
      </w:rPr>
    </w:lvl>
    <w:lvl w:ilvl="3" w:tplc="B734D910">
      <w:numFmt w:val="bullet"/>
      <w:lvlText w:val="•"/>
      <w:lvlJc w:val="left"/>
      <w:pPr>
        <w:ind w:left="3264" w:hanging="269"/>
      </w:pPr>
      <w:rPr>
        <w:rFonts w:hint="default"/>
        <w:lang w:val="es-ES" w:eastAsia="en-US" w:bidi="ar-SA"/>
      </w:rPr>
    </w:lvl>
    <w:lvl w:ilvl="4" w:tplc="D376F494">
      <w:numFmt w:val="bullet"/>
      <w:lvlText w:val="•"/>
      <w:lvlJc w:val="left"/>
      <w:pPr>
        <w:ind w:left="4132" w:hanging="269"/>
      </w:pPr>
      <w:rPr>
        <w:rFonts w:hint="default"/>
        <w:lang w:val="es-ES" w:eastAsia="en-US" w:bidi="ar-SA"/>
      </w:rPr>
    </w:lvl>
    <w:lvl w:ilvl="5" w:tplc="9BE632C8">
      <w:numFmt w:val="bullet"/>
      <w:lvlText w:val="•"/>
      <w:lvlJc w:val="left"/>
      <w:pPr>
        <w:ind w:left="5000" w:hanging="269"/>
      </w:pPr>
      <w:rPr>
        <w:rFonts w:hint="default"/>
        <w:lang w:val="es-ES" w:eastAsia="en-US" w:bidi="ar-SA"/>
      </w:rPr>
    </w:lvl>
    <w:lvl w:ilvl="6" w:tplc="747E9F18">
      <w:numFmt w:val="bullet"/>
      <w:lvlText w:val="•"/>
      <w:lvlJc w:val="left"/>
      <w:pPr>
        <w:ind w:left="5868" w:hanging="269"/>
      </w:pPr>
      <w:rPr>
        <w:rFonts w:hint="default"/>
        <w:lang w:val="es-ES" w:eastAsia="en-US" w:bidi="ar-SA"/>
      </w:rPr>
    </w:lvl>
    <w:lvl w:ilvl="7" w:tplc="C93ED076">
      <w:numFmt w:val="bullet"/>
      <w:lvlText w:val="•"/>
      <w:lvlJc w:val="left"/>
      <w:pPr>
        <w:ind w:left="6736" w:hanging="269"/>
      </w:pPr>
      <w:rPr>
        <w:rFonts w:hint="default"/>
        <w:lang w:val="es-ES" w:eastAsia="en-US" w:bidi="ar-SA"/>
      </w:rPr>
    </w:lvl>
    <w:lvl w:ilvl="8" w:tplc="C8DC1C56">
      <w:numFmt w:val="bullet"/>
      <w:lvlText w:val="•"/>
      <w:lvlJc w:val="left"/>
      <w:pPr>
        <w:ind w:left="7604" w:hanging="269"/>
      </w:pPr>
      <w:rPr>
        <w:rFonts w:hint="default"/>
        <w:lang w:val="es-ES" w:eastAsia="en-US" w:bidi="ar-SA"/>
      </w:rPr>
    </w:lvl>
  </w:abstractNum>
  <w:abstractNum w:abstractNumId="2">
    <w:nsid w:val="43C11249"/>
    <w:multiLevelType w:val="multilevel"/>
    <w:tmpl w:val="34424340"/>
    <w:lvl w:ilvl="0">
      <w:start w:val="1"/>
      <w:numFmt w:val="low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nsid w:val="548A08DF"/>
    <w:multiLevelType w:val="hybridMultilevel"/>
    <w:tmpl w:val="58DC5D88"/>
    <w:lvl w:ilvl="0" w:tplc="A92EF6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B79282D"/>
    <w:multiLevelType w:val="multilevel"/>
    <w:tmpl w:val="FBC66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2B"/>
    <w:rsid w:val="00035569"/>
    <w:rsid w:val="000562C0"/>
    <w:rsid w:val="00111A48"/>
    <w:rsid w:val="00127274"/>
    <w:rsid w:val="001A63A3"/>
    <w:rsid w:val="001D3409"/>
    <w:rsid w:val="001E0CB5"/>
    <w:rsid w:val="002035CF"/>
    <w:rsid w:val="00213BEE"/>
    <w:rsid w:val="00224C88"/>
    <w:rsid w:val="00232675"/>
    <w:rsid w:val="00237951"/>
    <w:rsid w:val="002914E6"/>
    <w:rsid w:val="003A3963"/>
    <w:rsid w:val="004076F1"/>
    <w:rsid w:val="004328C1"/>
    <w:rsid w:val="004A71EF"/>
    <w:rsid w:val="005510C7"/>
    <w:rsid w:val="005A29C3"/>
    <w:rsid w:val="006463DE"/>
    <w:rsid w:val="006625C1"/>
    <w:rsid w:val="006A555D"/>
    <w:rsid w:val="00711980"/>
    <w:rsid w:val="00714F62"/>
    <w:rsid w:val="008001B8"/>
    <w:rsid w:val="00804DD0"/>
    <w:rsid w:val="00814643"/>
    <w:rsid w:val="008313BF"/>
    <w:rsid w:val="008455FF"/>
    <w:rsid w:val="008D0B2B"/>
    <w:rsid w:val="0092289D"/>
    <w:rsid w:val="00945281"/>
    <w:rsid w:val="009521C4"/>
    <w:rsid w:val="009A01EB"/>
    <w:rsid w:val="00A101B0"/>
    <w:rsid w:val="00A261FF"/>
    <w:rsid w:val="00B0271C"/>
    <w:rsid w:val="00B47FB2"/>
    <w:rsid w:val="00B660C3"/>
    <w:rsid w:val="00BA0177"/>
    <w:rsid w:val="00BC62AA"/>
    <w:rsid w:val="00BD27F5"/>
    <w:rsid w:val="00C455AB"/>
    <w:rsid w:val="00C719B9"/>
    <w:rsid w:val="00C8285F"/>
    <w:rsid w:val="00C87A9C"/>
    <w:rsid w:val="00C92553"/>
    <w:rsid w:val="00CB27CE"/>
    <w:rsid w:val="00CC76F7"/>
    <w:rsid w:val="00CE0261"/>
    <w:rsid w:val="00D44D19"/>
    <w:rsid w:val="00D746D2"/>
    <w:rsid w:val="00D8621E"/>
    <w:rsid w:val="00E64AC6"/>
    <w:rsid w:val="00F019BE"/>
    <w:rsid w:val="00F03D4B"/>
    <w:rsid w:val="00FB17CC"/>
    <w:rsid w:val="00FB50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42CBC-F2DB-4C32-9B11-332EAE22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Textoindependiente">
    <w:name w:val="Body Text"/>
    <w:basedOn w:val="Normal"/>
    <w:link w:val="TextoindependienteCar"/>
    <w:uiPriority w:val="1"/>
    <w:qFormat/>
    <w:rsid w:val="006625C1"/>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6625C1"/>
    <w:rPr>
      <w:rFonts w:ascii="Arial MT" w:eastAsia="Arial MT" w:hAnsi="Arial MT" w:cs="Arial MT"/>
      <w:lang w:val="es-ES" w:eastAsia="en-US"/>
    </w:rPr>
  </w:style>
  <w:style w:type="paragraph" w:styleId="Prrafodelista">
    <w:name w:val="List Paragraph"/>
    <w:basedOn w:val="Normal"/>
    <w:uiPriority w:val="34"/>
    <w:qFormat/>
    <w:rsid w:val="006625C1"/>
    <w:pPr>
      <w:widowControl w:val="0"/>
      <w:autoSpaceDE w:val="0"/>
      <w:autoSpaceDN w:val="0"/>
      <w:ind w:left="382"/>
      <w:jc w:val="both"/>
    </w:pPr>
    <w:rPr>
      <w:rFonts w:ascii="Arial MT" w:eastAsia="Arial MT" w:hAnsi="Arial MT" w:cs="Arial MT"/>
      <w:sz w:val="22"/>
      <w:szCs w:val="22"/>
      <w:lang w:val="es-ES" w:eastAsia="en-US"/>
    </w:rPr>
  </w:style>
  <w:style w:type="paragraph" w:styleId="Encabezado">
    <w:name w:val="header"/>
    <w:basedOn w:val="Normal"/>
    <w:link w:val="EncabezadoCar"/>
    <w:uiPriority w:val="99"/>
    <w:unhideWhenUsed/>
    <w:rsid w:val="00D8621E"/>
    <w:pPr>
      <w:tabs>
        <w:tab w:val="center" w:pos="4419"/>
        <w:tab w:val="right" w:pos="8838"/>
      </w:tabs>
    </w:pPr>
  </w:style>
  <w:style w:type="character" w:customStyle="1" w:styleId="EncabezadoCar">
    <w:name w:val="Encabezado Car"/>
    <w:basedOn w:val="Fuentedeprrafopredeter"/>
    <w:link w:val="Encabezado"/>
    <w:uiPriority w:val="99"/>
    <w:rsid w:val="00D8621E"/>
  </w:style>
  <w:style w:type="paragraph" w:styleId="Piedepgina">
    <w:name w:val="footer"/>
    <w:basedOn w:val="Normal"/>
    <w:link w:val="PiedepginaCar"/>
    <w:uiPriority w:val="99"/>
    <w:unhideWhenUsed/>
    <w:rsid w:val="00D8621E"/>
    <w:pPr>
      <w:tabs>
        <w:tab w:val="center" w:pos="4419"/>
        <w:tab w:val="right" w:pos="8838"/>
      </w:tabs>
    </w:pPr>
  </w:style>
  <w:style w:type="character" w:customStyle="1" w:styleId="PiedepginaCar">
    <w:name w:val="Pie de página Car"/>
    <w:basedOn w:val="Fuentedeprrafopredeter"/>
    <w:link w:val="Piedepgina"/>
    <w:uiPriority w:val="99"/>
    <w:rsid w:val="00D8621E"/>
  </w:style>
  <w:style w:type="paragraph" w:styleId="Textodeglobo">
    <w:name w:val="Balloon Text"/>
    <w:basedOn w:val="Normal"/>
    <w:link w:val="TextodegloboCar"/>
    <w:uiPriority w:val="99"/>
    <w:semiHidden/>
    <w:unhideWhenUsed/>
    <w:rsid w:val="00C455AB"/>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608</Words>
  <Characters>3350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Paola.Santos</dc:creator>
  <cp:lastModifiedBy>Dora Sonia Cortes Castillo</cp:lastModifiedBy>
  <cp:revision>10</cp:revision>
  <cp:lastPrinted>2021-10-28T19:15:00Z</cp:lastPrinted>
  <dcterms:created xsi:type="dcterms:W3CDTF">2022-03-29T20:50:00Z</dcterms:created>
  <dcterms:modified xsi:type="dcterms:W3CDTF">2022-03-29T21:22:00Z</dcterms:modified>
</cp:coreProperties>
</file>